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9264" behindDoc="0" locked="0" layoutInCell="1" allowOverlap="1">
            <wp:simplePos x="0" y="0"/>
            <wp:positionH relativeFrom="page">
              <wp:posOffset>12039600</wp:posOffset>
            </wp:positionH>
            <wp:positionV relativeFrom="topMargin">
              <wp:posOffset>12319000</wp:posOffset>
            </wp:positionV>
            <wp:extent cx="495300" cy="469900"/>
            <wp:effectExtent l="0" t="0" r="7620" b="254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5"/>
                    <a:stretch>
                      <a:fillRect/>
                    </a:stretch>
                  </pic:blipFill>
                  <pic:spPr>
                    <a:xfrm>
                      <a:off x="0" y="0"/>
                      <a:ext cx="495300" cy="469900"/>
                    </a:xfrm>
                    <a:prstGeom prst="rect">
                      <a:avLst/>
                    </a:prstGeom>
                  </pic:spPr>
                </pic:pic>
              </a:graphicData>
            </a:graphic>
          </wp:anchor>
        </w:drawing>
      </w:r>
      <w:r>
        <w:rPr>
          <w:rFonts w:hint="eastAsia" w:ascii="Times New Roman" w:hAnsi="Times New Roman"/>
          <w:b/>
          <w:bCs/>
          <w:sz w:val="32"/>
          <w:szCs w:val="32"/>
        </w:rPr>
        <w:t>2023—2024学年度第一学期期中学业水平诊断</w:t>
      </w:r>
    </w:p>
    <w:p>
      <w:pPr>
        <w:adjustRightInd w:val="0"/>
        <w:spacing w:line="288" w:lineRule="auto"/>
        <w:jc w:val="center"/>
        <w:rPr>
          <w:rFonts w:ascii="Times New Roman" w:hAnsi="Times New Roman"/>
          <w:b/>
          <w:bCs/>
          <w:sz w:val="32"/>
          <w:szCs w:val="32"/>
        </w:rPr>
      </w:pPr>
      <w:r>
        <w:rPr>
          <w:rFonts w:hint="eastAsia" w:ascii="Times New Roman" w:hAnsi="Times New Roman"/>
          <w:b/>
          <w:bCs/>
          <w:sz w:val="32"/>
          <w:szCs w:val="32"/>
        </w:rPr>
        <w:t>高三思想政治</w:t>
      </w:r>
    </w:p>
    <w:p>
      <w:pPr>
        <w:adjustRightInd w:val="0"/>
        <w:spacing w:line="288" w:lineRule="auto"/>
        <w:jc w:val="left"/>
        <w:rPr>
          <w:rFonts w:ascii="Times New Roman" w:hAnsi="Times New Roman"/>
          <w:b/>
          <w:bCs/>
          <w:sz w:val="24"/>
        </w:rPr>
      </w:pPr>
      <w:r>
        <w:rPr>
          <w:rFonts w:hint="eastAsia" w:ascii="Times New Roman" w:hAnsi="Times New Roman"/>
          <w:b/>
          <w:bCs/>
          <w:sz w:val="24"/>
        </w:rPr>
        <w:t>说明：</w:t>
      </w:r>
    </w:p>
    <w:p>
      <w:pPr>
        <w:adjustRightInd w:val="0"/>
        <w:spacing w:line="288" w:lineRule="auto"/>
        <w:jc w:val="left"/>
        <w:rPr>
          <w:rFonts w:ascii="Times New Roman" w:hAnsi="Times New Roman"/>
          <w:b/>
          <w:bCs/>
          <w:sz w:val="24"/>
        </w:rPr>
      </w:pPr>
      <w:r>
        <w:rPr>
          <w:rFonts w:hint="eastAsia" w:ascii="Times New Roman" w:hAnsi="Times New Roman"/>
          <w:b/>
          <w:bCs/>
          <w:sz w:val="24"/>
        </w:rPr>
        <w:t>1．本试卷分选择题和非选择题两部分，满分100分，考试时间为90分钟。</w:t>
      </w:r>
    </w:p>
    <w:p>
      <w:pPr>
        <w:adjustRightInd w:val="0"/>
        <w:spacing w:line="288" w:lineRule="auto"/>
        <w:jc w:val="left"/>
        <w:rPr>
          <w:rFonts w:ascii="Times New Roman" w:hAnsi="Times New Roman"/>
          <w:b/>
          <w:bCs/>
          <w:sz w:val="24"/>
        </w:rPr>
      </w:pPr>
      <w:r>
        <w:rPr>
          <w:rFonts w:hint="eastAsia" w:ascii="Times New Roman" w:hAnsi="Times New Roman"/>
          <w:b/>
          <w:bCs/>
          <w:sz w:val="24"/>
        </w:rPr>
        <w:t>2．网上阅卷的，请将选择题答案涂在答题纸选择题答题区，将非选择题答案写在答题纸指定区域内；非网上阅卷的，请将选择题答案涂在答题卡上，将非选择题答案写在答题纸指定区域内。</w:t>
      </w:r>
    </w:p>
    <w:p>
      <w:pPr>
        <w:adjustRightInd w:val="0"/>
        <w:spacing w:line="288" w:lineRule="auto"/>
        <w:jc w:val="left"/>
        <w:rPr>
          <w:rFonts w:ascii="Times New Roman" w:hAnsi="Times New Roman"/>
          <w:b/>
          <w:bCs/>
          <w:sz w:val="24"/>
        </w:rPr>
      </w:pPr>
      <w:r>
        <w:rPr>
          <w:rFonts w:hint="eastAsia" w:ascii="Times New Roman" w:hAnsi="Times New Roman"/>
          <w:b/>
          <w:bCs/>
          <w:sz w:val="24"/>
        </w:rPr>
        <w:t>一、选择题：本题共15小题，每小题3分，共45分。在每小题给出的四个选项中，只有一项是最符合题目要求的。</w:t>
      </w:r>
    </w:p>
    <w:p>
      <w:pPr>
        <w:adjustRightInd w:val="0"/>
        <w:spacing w:line="288" w:lineRule="auto"/>
        <w:jc w:val="left"/>
        <w:rPr>
          <w:rFonts w:ascii="Times New Roman" w:hAnsi="Times New Roman"/>
          <w:szCs w:val="21"/>
        </w:rPr>
      </w:pPr>
      <w:r>
        <w:rPr>
          <w:rFonts w:hint="eastAsia" w:ascii="Times New Roman" w:hAnsi="Times New Roman"/>
          <w:szCs w:val="21"/>
        </w:rPr>
        <w:t xml:space="preserve">1．法国学者托尼·安德烈亚尼说：“没有任何理论比马克思主义能更加清楚地阐释劳动价值、剩余价值、经济危机、资本主义的社会效应及全球效应等内容。”美国学者威廉·琼斯说：“中国的经济发展取得了非凡成就，其他国家自然而然地会借鉴这些经验，也可能施用于本国实践。人们将重新燃起阅读《资本论》等马克思著作的兴趣。其他国家共产党的热情也可能重新受到激发。”越来越多的学者倾向于重新研究马克思主义，是因为（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①马克思主义为破解发展瓶颈贡献了智慧和具体方案</w:t>
      </w:r>
    </w:p>
    <w:p>
      <w:pPr>
        <w:adjustRightInd w:val="0"/>
        <w:spacing w:line="288" w:lineRule="auto"/>
        <w:jc w:val="left"/>
        <w:rPr>
          <w:rFonts w:ascii="Times New Roman" w:hAnsi="Times New Roman"/>
          <w:szCs w:val="21"/>
        </w:rPr>
      </w:pPr>
      <w:r>
        <w:rPr>
          <w:rFonts w:hint="eastAsia" w:ascii="Times New Roman" w:hAnsi="Times New Roman"/>
          <w:szCs w:val="21"/>
        </w:rPr>
        <w:t>②马克思主义为人类社会发展进步指明了正确的方向</w:t>
      </w:r>
    </w:p>
    <w:p>
      <w:pPr>
        <w:adjustRightInd w:val="0"/>
        <w:spacing w:line="288" w:lineRule="auto"/>
        <w:jc w:val="left"/>
        <w:rPr>
          <w:rFonts w:ascii="Times New Roman" w:hAnsi="Times New Roman"/>
          <w:szCs w:val="21"/>
        </w:rPr>
      </w:pPr>
      <w:r>
        <w:rPr>
          <w:rFonts w:hint="eastAsia" w:ascii="Times New Roman" w:hAnsi="Times New Roman"/>
          <w:szCs w:val="21"/>
        </w:rPr>
        <w:t>③马克思主义作为永恒真理没有过时也永远不会过时</w:t>
      </w:r>
    </w:p>
    <w:p>
      <w:pPr>
        <w:adjustRightInd w:val="0"/>
        <w:spacing w:line="288" w:lineRule="auto"/>
        <w:jc w:val="left"/>
        <w:rPr>
          <w:rFonts w:ascii="Times New Roman" w:hAnsi="Times New Roman"/>
          <w:szCs w:val="21"/>
        </w:rPr>
      </w:pPr>
      <w:r>
        <w:rPr>
          <w:rFonts w:hint="eastAsia" w:ascii="Times New Roman" w:hAnsi="Times New Roman"/>
          <w:szCs w:val="21"/>
        </w:rPr>
        <w:t>④新时代中国以其成功实践证明马克思主义的真理性</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szCs w:val="21"/>
        </w:rPr>
      </w:pPr>
      <w:r>
        <w:rPr>
          <w:rFonts w:hint="eastAsia" w:ascii="Times New Roman" w:hAnsi="Times New Roman"/>
          <w:szCs w:val="21"/>
        </w:rPr>
        <w:t xml:space="preserve">2．马克思是一个革命家，马克思主义的核心就是“必须推翻那些使人成为受屈辱、被奴役、被遗弃和被蔑视的东西的一切关系”，使人类获得解放，让人成为真正的“人”。马克思主义“公然”为人类解放指明了道路，改变了亿万人民的命运。材料表明（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①人民性是马克思主义的本质属性，是理论创新的不竭源泉</w:t>
      </w:r>
    </w:p>
    <w:p>
      <w:pPr>
        <w:adjustRightInd w:val="0"/>
        <w:spacing w:line="288" w:lineRule="auto"/>
        <w:jc w:val="left"/>
        <w:rPr>
          <w:rFonts w:ascii="Times New Roman" w:hAnsi="Times New Roman"/>
          <w:szCs w:val="21"/>
        </w:rPr>
      </w:pPr>
      <w:r>
        <w:rPr>
          <w:rFonts w:hint="eastAsia" w:ascii="Times New Roman" w:hAnsi="Times New Roman"/>
          <w:szCs w:val="21"/>
        </w:rPr>
        <w:t>②马克思主义第一次创立了人民实现自身解放的思想体系</w:t>
      </w:r>
    </w:p>
    <w:p>
      <w:pPr>
        <w:adjustRightInd w:val="0"/>
        <w:spacing w:line="288" w:lineRule="auto"/>
        <w:jc w:val="left"/>
        <w:rPr>
          <w:rFonts w:ascii="Times New Roman" w:hAnsi="Times New Roman"/>
          <w:szCs w:val="21"/>
        </w:rPr>
      </w:pPr>
      <w:r>
        <w:rPr>
          <w:rFonts w:hint="eastAsia" w:ascii="Times New Roman" w:hAnsi="Times New Roman"/>
          <w:szCs w:val="21"/>
        </w:rPr>
        <w:t>③马克思主义是实践的理论，指引着人民改造世界的行动</w:t>
      </w:r>
    </w:p>
    <w:p>
      <w:pPr>
        <w:adjustRightInd w:val="0"/>
        <w:spacing w:line="288" w:lineRule="auto"/>
        <w:jc w:val="left"/>
        <w:rPr>
          <w:rFonts w:ascii="Times New Roman" w:hAnsi="Times New Roman"/>
          <w:szCs w:val="21"/>
        </w:rPr>
      </w:pPr>
      <w:r>
        <w:rPr>
          <w:rFonts w:hint="eastAsia" w:ascii="Times New Roman" w:hAnsi="Times New Roman"/>
          <w:szCs w:val="21"/>
        </w:rPr>
        <w:t>④人民是社会变革的决定力量，是社会存在和发展的基础</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szCs w:val="21"/>
        </w:rPr>
      </w:pPr>
      <w:r>
        <w:rPr>
          <w:rFonts w:hint="eastAsia" w:ascii="Times New Roman" w:hAnsi="Times New Roman"/>
          <w:szCs w:val="21"/>
        </w:rPr>
        <w:t xml:space="preserve">3．从马克思主义传入中国到中华民族伟大复兴进入不可逆转的历史进程，我们走了百年。百年成就非凡，特别是十八大以来，亿万人民在党中央坚强领导下，攻克了一个个看似不可攻克的难关险阻，创造了一个个令人刮目相看的人间奇迹。历史雄辩地证明，中国特色社会主义道路，不仅走得对、走得通，而且走得稳、走得好。下列认识正确的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①历史性成就的取得表明我国已进入社会主义高级阶段</w:t>
      </w:r>
    </w:p>
    <w:p>
      <w:pPr>
        <w:adjustRightInd w:val="0"/>
        <w:spacing w:line="288" w:lineRule="auto"/>
        <w:jc w:val="left"/>
        <w:rPr>
          <w:rFonts w:ascii="Times New Roman" w:hAnsi="Times New Roman"/>
          <w:szCs w:val="21"/>
        </w:rPr>
      </w:pPr>
      <w:r>
        <w:rPr>
          <w:rFonts w:hint="eastAsia" w:ascii="Times New Roman" w:hAnsi="Times New Roman"/>
          <w:szCs w:val="21"/>
        </w:rPr>
        <w:t>②中国特色社会主义道路是社会主义国家创造美好生活的必由之路</w:t>
      </w:r>
    </w:p>
    <w:p>
      <w:pPr>
        <w:adjustRightInd w:val="0"/>
        <w:spacing w:line="288" w:lineRule="auto"/>
        <w:jc w:val="left"/>
        <w:rPr>
          <w:rFonts w:ascii="Times New Roman" w:hAnsi="Times New Roman"/>
          <w:szCs w:val="21"/>
        </w:rPr>
      </w:pPr>
      <w:r>
        <w:rPr>
          <w:rFonts w:hint="eastAsia" w:ascii="Times New Roman" w:hAnsi="Times New Roman"/>
          <w:szCs w:val="21"/>
        </w:rPr>
        <w:t>③中国特色社会主义之所以好在于坚持了理论逻辑与历史逻辑的统一</w:t>
      </w:r>
    </w:p>
    <w:p>
      <w:pPr>
        <w:adjustRightInd w:val="0"/>
        <w:spacing w:line="288" w:lineRule="auto"/>
        <w:jc w:val="left"/>
        <w:rPr>
          <w:rFonts w:ascii="Times New Roman" w:hAnsi="Times New Roman"/>
          <w:szCs w:val="21"/>
        </w:rPr>
      </w:pPr>
      <w:r>
        <w:rPr>
          <w:rFonts w:hint="eastAsia" w:ascii="Times New Roman" w:hAnsi="Times New Roman"/>
          <w:szCs w:val="21"/>
        </w:rPr>
        <w:t>④实践证明新时代党的一系列原创性的治国理政新理念新思想新战略的科学性</w:t>
      </w:r>
    </w:p>
    <w:p>
      <w:pPr>
        <w:adjustRightInd w:val="0"/>
        <w:spacing w:line="288" w:lineRule="auto"/>
        <w:jc w:val="left"/>
        <w:rPr>
          <w:rFonts w:ascii="Times New Roman" w:hAnsi="Times New Roman"/>
          <w:szCs w:val="21"/>
        </w:rPr>
      </w:pPr>
      <w:r>
        <w:rPr>
          <w:rFonts w:hint="eastAsia" w:ascii="Times New Roman" w:hAnsi="Times New Roman"/>
          <w:szCs w:val="21"/>
        </w:rPr>
        <w:t>A．①②         B．①④         C．②③         D．③④</w:t>
      </w:r>
    </w:p>
    <w:p>
      <w:pPr>
        <w:adjustRightInd w:val="0"/>
        <w:spacing w:line="288" w:lineRule="auto"/>
        <w:jc w:val="left"/>
        <w:rPr>
          <w:rFonts w:ascii="Times New Roman" w:hAnsi="Times New Roman"/>
          <w:szCs w:val="21"/>
        </w:rPr>
      </w:pPr>
      <w:r>
        <w:rPr>
          <w:rFonts w:hint="eastAsia" w:ascii="Times New Roman" w:hAnsi="Times New Roman"/>
          <w:szCs w:val="21"/>
        </w:rPr>
        <w:t xml:space="preserve">4．2023年10月7日，全国宣传思想文化工作会议在北京召开，会议最重要的成果就是首次提出了习近平文化思想。习近平文化思想是新时代党领导文化建设实践经验的理论总结，既有文化理论观点上的创新和突破，又有文化工作布局上的部署要求，明体达用、体用贯通，明确了新时代文化建设的路线图和任务书。由此可见，习近平文化思想（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①植根于中国特色社会主义的伟大实践，代表着中华民族独特的精神标识</w:t>
      </w:r>
    </w:p>
    <w:p>
      <w:pPr>
        <w:adjustRightInd w:val="0"/>
        <w:spacing w:line="288" w:lineRule="auto"/>
        <w:jc w:val="left"/>
        <w:rPr>
          <w:rFonts w:ascii="Times New Roman" w:hAnsi="Times New Roman"/>
          <w:szCs w:val="21"/>
        </w:rPr>
      </w:pPr>
      <w:r>
        <w:rPr>
          <w:rFonts w:hint="eastAsia" w:ascii="Times New Roman" w:hAnsi="Times New Roman"/>
          <w:szCs w:val="21"/>
        </w:rPr>
        <w:t>②标志着中国共产党对中国特色社会主义文化建设规律的认识达到了新高度</w:t>
      </w:r>
    </w:p>
    <w:p>
      <w:pPr>
        <w:adjustRightInd w:val="0"/>
        <w:spacing w:line="288" w:lineRule="auto"/>
        <w:jc w:val="left"/>
        <w:rPr>
          <w:rFonts w:ascii="Times New Roman" w:hAnsi="Times New Roman"/>
          <w:szCs w:val="21"/>
        </w:rPr>
      </w:pPr>
      <w:r>
        <w:rPr>
          <w:rFonts w:hint="eastAsia" w:ascii="Times New Roman" w:hAnsi="Times New Roman"/>
          <w:szCs w:val="21"/>
        </w:rPr>
        <w:t>③为新时代做好宣传思想文化工作、担负新的文化使命提供了科学行动指南</w:t>
      </w:r>
    </w:p>
    <w:p>
      <w:pPr>
        <w:adjustRightInd w:val="0"/>
        <w:spacing w:line="288" w:lineRule="auto"/>
        <w:jc w:val="left"/>
        <w:rPr>
          <w:rFonts w:ascii="Times New Roman" w:hAnsi="Times New Roman"/>
          <w:szCs w:val="21"/>
        </w:rPr>
      </w:pPr>
      <w:r>
        <w:rPr>
          <w:rFonts w:hint="eastAsia" w:ascii="Times New Roman" w:hAnsi="Times New Roman"/>
          <w:szCs w:val="21"/>
        </w:rPr>
        <w:t>④表明我党的文化自信达到新高度、坚定文化自信就是对习近平文化思想的自信</w:t>
      </w:r>
    </w:p>
    <w:p>
      <w:pPr>
        <w:adjustRightInd w:val="0"/>
        <w:spacing w:line="288" w:lineRule="auto"/>
        <w:jc w:val="left"/>
        <w:rPr>
          <w:rFonts w:ascii="Times New Roman" w:hAnsi="Times New Roman"/>
          <w:szCs w:val="21"/>
        </w:rPr>
      </w:pPr>
      <w:r>
        <w:rPr>
          <w:rFonts w:hint="eastAsia" w:ascii="Times New Roman" w:hAnsi="Times New Roman"/>
          <w:szCs w:val="21"/>
        </w:rPr>
        <w:t>A．①②         B．①④         C．②③         D．③④</w:t>
      </w:r>
    </w:p>
    <w:p>
      <w:pPr>
        <w:adjustRightInd w:val="0"/>
        <w:spacing w:line="288" w:lineRule="auto"/>
        <w:jc w:val="left"/>
        <w:rPr>
          <w:rFonts w:ascii="Times New Roman" w:hAnsi="Times New Roman"/>
          <w:szCs w:val="21"/>
        </w:rPr>
      </w:pPr>
      <w:r>
        <w:rPr>
          <w:rFonts w:hint="eastAsia" w:ascii="Times New Roman" w:hAnsi="Times New Roman"/>
          <w:szCs w:val="21"/>
        </w:rPr>
        <w:t xml:space="preserve">5．山东某镇立足自身产业基础和自然条件，充分发挥村办集体经济和龙头企业联农带农作用，采取“合作社+企业+农户”模式，以集体控股+企业、农户入股为前提，以收租金、分红金、获薪金“三金”模式和零成本起步、零风险种养、零距离就业“三零”为目标发展村集体经济。目前，该镇试点村庄群众入股率达到80%以上，提供务工岗位上百个，有效带动农民增收。该镇的做法（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 xml:space="preserve">①形成村集体和农户利益共同体，促进共同富裕 </w:t>
      </w:r>
      <w:r>
        <w:rPr>
          <w:rFonts w:ascii="Times New Roman" w:hAnsi="Times New Roman"/>
          <w:szCs w:val="21"/>
        </w:rPr>
        <w:t xml:space="preserve">     </w:t>
      </w:r>
      <w:r>
        <w:rPr>
          <w:rFonts w:hint="eastAsia" w:ascii="Times New Roman" w:hAnsi="Times New Roman"/>
          <w:szCs w:val="21"/>
        </w:rPr>
        <w:t>②整合农村资产资源，发挥集体经济的主导作用</w:t>
      </w:r>
    </w:p>
    <w:p>
      <w:pPr>
        <w:adjustRightInd w:val="0"/>
        <w:spacing w:line="288" w:lineRule="auto"/>
        <w:jc w:val="left"/>
        <w:rPr>
          <w:rFonts w:ascii="Times New Roman" w:hAnsi="Times New Roman"/>
          <w:szCs w:val="21"/>
        </w:rPr>
      </w:pPr>
      <w:r>
        <w:rPr>
          <w:rFonts w:hint="eastAsia" w:ascii="Times New Roman" w:hAnsi="Times New Roman"/>
          <w:szCs w:val="21"/>
        </w:rPr>
        <w:t xml:space="preserve">③发展新型农业经营主体，推进农业适度规模经营 </w:t>
      </w:r>
      <w:r>
        <w:rPr>
          <w:rFonts w:ascii="Times New Roman" w:hAnsi="Times New Roman"/>
          <w:szCs w:val="21"/>
        </w:rPr>
        <w:t xml:space="preserve">   </w:t>
      </w:r>
      <w:r>
        <w:rPr>
          <w:rFonts w:hint="eastAsia" w:ascii="Times New Roman" w:hAnsi="Times New Roman"/>
          <w:szCs w:val="21"/>
        </w:rPr>
        <w:t>④表明生产要素按贡献分配成为农村的主要分配方式</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szCs w:val="21"/>
        </w:rPr>
      </w:pPr>
      <w:r>
        <w:rPr>
          <w:rFonts w:hint="eastAsia" w:ascii="Times New Roman" w:hAnsi="Times New Roman"/>
          <w:szCs w:val="21"/>
        </w:rPr>
        <w:t xml:space="preserve">6．2023年二季度以来，我国中药材价格上涨明显，多个常用品种药材价格暴涨。业内人士认为，中药材价格在正常价格涨跌周期外、还受产地减产、游资炒作、恶意囤积等多重因素影响。对此，政府要稳定中药材市场，下列举措及其传导正确的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①加强市场监管→严厉打击恶意囤货行为→规范中药材市场秩序</w:t>
      </w:r>
    </w:p>
    <w:p>
      <w:pPr>
        <w:adjustRightInd w:val="0"/>
        <w:spacing w:line="288" w:lineRule="auto"/>
        <w:jc w:val="left"/>
        <w:rPr>
          <w:rFonts w:ascii="Times New Roman" w:hAnsi="Times New Roman"/>
          <w:szCs w:val="21"/>
        </w:rPr>
      </w:pPr>
      <w:r>
        <w:rPr>
          <w:rFonts w:hint="eastAsia" w:ascii="Times New Roman" w:hAnsi="Times New Roman"/>
          <w:szCs w:val="21"/>
        </w:rPr>
        <w:t>②加大财政支持→严禁游资进入药材市场→有效调控中药材价格</w:t>
      </w:r>
    </w:p>
    <w:p>
      <w:pPr>
        <w:adjustRightInd w:val="0"/>
        <w:spacing w:line="288" w:lineRule="auto"/>
        <w:jc w:val="left"/>
        <w:rPr>
          <w:rFonts w:ascii="Times New Roman" w:hAnsi="Times New Roman"/>
          <w:szCs w:val="21"/>
        </w:rPr>
      </w:pPr>
      <w:r>
        <w:rPr>
          <w:rFonts w:hint="eastAsia" w:ascii="Times New Roman" w:hAnsi="Times New Roman"/>
          <w:szCs w:val="21"/>
        </w:rPr>
        <w:t>③扩大种植面积→实现产业规模化专业化→增加中药材产量供给</w:t>
      </w:r>
    </w:p>
    <w:p>
      <w:pPr>
        <w:adjustRightInd w:val="0"/>
        <w:spacing w:line="288" w:lineRule="auto"/>
        <w:jc w:val="left"/>
        <w:rPr>
          <w:rFonts w:ascii="Times New Roman" w:hAnsi="Times New Roman"/>
          <w:szCs w:val="21"/>
        </w:rPr>
      </w:pPr>
      <w:r>
        <w:rPr>
          <w:rFonts w:hint="eastAsia" w:ascii="Times New Roman" w:hAnsi="Times New Roman"/>
          <w:szCs w:val="21"/>
        </w:rPr>
        <w:t>④优化公共服务→加强药材种植技术指导→减少中药材产量波动</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szCs w:val="21"/>
        </w:rPr>
      </w:pPr>
      <w:r>
        <w:rPr>
          <w:rFonts w:hint="eastAsia" w:ascii="Times New Roman" w:hAnsi="Times New Roman"/>
          <w:szCs w:val="21"/>
        </w:rPr>
        <w:t xml:space="preserve">7．2023年4月底，中央政治局召开会议提出要多渠道增加城乡居民收入。国家发改委就加强居民增收工作作了研究部署，要求地方发展改革部门加大稳就业工作力度，发挥好最低工资、工资集体协商、工资指导线等机制作用，强化重点群体支持帮扶，增加低收人者收入，积极探索促进居民增收有效路径。此举旨在（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 xml:space="preserve">①理顺收支关系，加大再分配调节力度 </w:t>
      </w:r>
      <w:r>
        <w:rPr>
          <w:rFonts w:ascii="Times New Roman" w:hAnsi="Times New Roman"/>
          <w:szCs w:val="21"/>
        </w:rPr>
        <w:t xml:space="preserve">        </w:t>
      </w:r>
      <w:r>
        <w:rPr>
          <w:rFonts w:hint="eastAsia" w:ascii="Times New Roman" w:hAnsi="Times New Roman"/>
          <w:szCs w:val="21"/>
        </w:rPr>
        <w:t>②调节收入分配，实现人民共享发展成果</w:t>
      </w:r>
    </w:p>
    <w:p>
      <w:pPr>
        <w:adjustRightInd w:val="0"/>
        <w:spacing w:line="288" w:lineRule="auto"/>
        <w:jc w:val="left"/>
        <w:rPr>
          <w:rFonts w:ascii="Times New Roman" w:hAnsi="Times New Roman"/>
          <w:szCs w:val="21"/>
        </w:rPr>
      </w:pPr>
      <w:r>
        <w:rPr>
          <w:rFonts w:hint="eastAsia" w:ascii="Times New Roman" w:hAnsi="Times New Roman"/>
          <w:szCs w:val="21"/>
        </w:rPr>
        <w:t xml:space="preserve">③促进公平正义，实现共同富裕的战略目标 </w:t>
      </w:r>
      <w:r>
        <w:rPr>
          <w:rFonts w:ascii="Times New Roman" w:hAnsi="Times New Roman"/>
          <w:szCs w:val="21"/>
        </w:rPr>
        <w:t xml:space="preserve">    </w:t>
      </w:r>
      <w:r>
        <w:rPr>
          <w:rFonts w:hint="eastAsia" w:ascii="Times New Roman" w:hAnsi="Times New Roman"/>
          <w:szCs w:val="21"/>
        </w:rPr>
        <w:t>④增加财政支出，促进经济健康可持续发展</w:t>
      </w:r>
    </w:p>
    <w:p>
      <w:pPr>
        <w:adjustRightInd w:val="0"/>
        <w:spacing w:line="288" w:lineRule="auto"/>
        <w:jc w:val="left"/>
        <w:rPr>
          <w:rFonts w:ascii="Times New Roman" w:hAnsi="Times New Roman"/>
          <w:szCs w:val="21"/>
        </w:rPr>
      </w:pPr>
      <w:r>
        <w:rPr>
          <w:rFonts w:hint="eastAsia" w:ascii="Times New Roman" w:hAnsi="Times New Roman"/>
          <w:szCs w:val="21"/>
        </w:rPr>
        <w:t>A．①②         B．①④         C．②③         D．③④</w:t>
      </w:r>
    </w:p>
    <w:p>
      <w:pPr>
        <w:adjustRightInd w:val="0"/>
        <w:spacing w:line="288" w:lineRule="auto"/>
        <w:jc w:val="left"/>
        <w:rPr>
          <w:rFonts w:ascii="Times New Roman" w:hAnsi="Times New Roman"/>
          <w:szCs w:val="21"/>
        </w:rPr>
      </w:pPr>
      <w:r>
        <w:rPr>
          <w:rFonts w:hint="eastAsia" w:ascii="Times New Roman" w:hAnsi="Times New Roman"/>
          <w:szCs w:val="21"/>
        </w:rPr>
        <w:t xml:space="preserve">8．今年以来，山东全面规范居民养老保险经办服务工作，在实现“统一信息系统、统一事项名称、统一业务流程、统一经办材料和表单、统一办结时限”五统一基础上，将参保登记、待遇登记、注销登记及一次性待遇支付、修改参保信息、中断参保、恢复参保、查询打印个人权益记录等7个事项纳入“全省通办”，实现了居民养老保险90%以上依申请办理业务的全省无差别受理，同标准办理。这一做法有利于（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①提升公共服务能力，推动养老保险制度公平化</w:t>
      </w:r>
    </w:p>
    <w:p>
      <w:pPr>
        <w:adjustRightInd w:val="0"/>
        <w:spacing w:line="288" w:lineRule="auto"/>
        <w:jc w:val="left"/>
        <w:rPr>
          <w:rFonts w:ascii="Times New Roman" w:hAnsi="Times New Roman"/>
          <w:szCs w:val="21"/>
        </w:rPr>
      </w:pPr>
      <w:r>
        <w:rPr>
          <w:rFonts w:hint="eastAsia" w:ascii="Times New Roman" w:hAnsi="Times New Roman"/>
          <w:szCs w:val="21"/>
        </w:rPr>
        <w:t>②提高社会福利水平，调动居民参保的积极性</w:t>
      </w:r>
    </w:p>
    <w:p>
      <w:pPr>
        <w:adjustRightInd w:val="0"/>
        <w:spacing w:line="288" w:lineRule="auto"/>
        <w:jc w:val="left"/>
        <w:rPr>
          <w:rFonts w:ascii="Times New Roman" w:hAnsi="Times New Roman"/>
          <w:szCs w:val="21"/>
        </w:rPr>
      </w:pPr>
      <w:r>
        <w:rPr>
          <w:rFonts w:hint="eastAsia" w:ascii="Times New Roman" w:hAnsi="Times New Roman"/>
          <w:szCs w:val="21"/>
        </w:rPr>
        <w:t>③降低居民养老负担，满足居民高层次保险需求</w:t>
      </w:r>
    </w:p>
    <w:p>
      <w:pPr>
        <w:adjustRightInd w:val="0"/>
        <w:spacing w:line="288" w:lineRule="auto"/>
        <w:jc w:val="left"/>
        <w:rPr>
          <w:rFonts w:ascii="Times New Roman" w:hAnsi="Times New Roman"/>
          <w:szCs w:val="21"/>
        </w:rPr>
      </w:pPr>
      <w:r>
        <w:rPr>
          <w:rFonts w:hint="eastAsia" w:ascii="Times New Roman" w:hAnsi="Times New Roman"/>
          <w:szCs w:val="21"/>
        </w:rPr>
        <w:t>④破解养老保险属地化管理难题，为参保群众提供便利</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szCs w:val="21"/>
        </w:rPr>
      </w:pPr>
      <w:r>
        <w:rPr>
          <w:rFonts w:hint="eastAsia" w:ascii="Times New Roman" w:hAnsi="Times New Roman"/>
          <w:szCs w:val="21"/>
        </w:rPr>
        <w:t>9．回顾百年党史，我们党在革命、建设、改革等各个历史时期，都始终把党的建设摆在突出位置，坚持党要管党、从严治党。</w:t>
      </w:r>
    </w:p>
    <w:p>
      <w:pPr>
        <w:adjustRightInd w:val="0"/>
        <w:spacing w:line="288" w:lineRule="auto"/>
        <w:jc w:val="left"/>
        <w:rPr>
          <w:rFonts w:ascii="Times New Roman" w:hAnsi="Times New Roman"/>
          <w:szCs w:val="21"/>
        </w:rPr>
      </w:pPr>
      <w:r>
        <w:rPr>
          <w:rFonts w:ascii="Times New Roman" w:hAnsi="Times New Roman"/>
          <w:szCs w:val="21"/>
        </w:rPr>
        <w:drawing>
          <wp:inline distT="0" distB="0" distL="0" distR="0">
            <wp:extent cx="4337685" cy="1463040"/>
            <wp:effectExtent l="0" t="0" r="571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BEBA8EAE-BF5A-486C-A8C5-ECC9F3942E4B}">
                          <a14:imgProps xmlns:a14="http://schemas.microsoft.com/office/drawing/2010/main">
                            <a14:imgLayer r:embed="rId7">
                              <a14:imgEffect>
                                <a14:brightnessContrast bright="20000" contrast="-40000"/>
                              </a14:imgEffect>
                            </a14:imgLayer>
                          </a14:imgProps>
                        </a:ext>
                      </a:extLst>
                    </a:blip>
                    <a:stretch>
                      <a:fillRect/>
                    </a:stretch>
                  </pic:blipFill>
                  <pic:spPr>
                    <a:xfrm>
                      <a:off x="0" y="0"/>
                      <a:ext cx="4350095" cy="1467164"/>
                    </a:xfrm>
                    <a:prstGeom prst="rect">
                      <a:avLst/>
                    </a:prstGeom>
                  </pic:spPr>
                </pic:pic>
              </a:graphicData>
            </a:graphic>
          </wp:inline>
        </w:drawing>
      </w:r>
    </w:p>
    <w:p>
      <w:pPr>
        <w:adjustRightInd w:val="0"/>
        <w:spacing w:line="288" w:lineRule="auto"/>
        <w:jc w:val="left"/>
        <w:rPr>
          <w:rFonts w:ascii="Times New Roman" w:hAnsi="Times New Roman"/>
          <w:szCs w:val="21"/>
        </w:rPr>
      </w:pPr>
      <w:r>
        <w:rPr>
          <w:rFonts w:hint="eastAsia" w:ascii="Times New Roman" w:hAnsi="Times New Roman"/>
          <w:szCs w:val="21"/>
        </w:rPr>
        <w:t xml:space="preserve">下列表述与材料主旨相同的是（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 xml:space="preserve">①“空谈误国，实干兴邦” </w:t>
      </w:r>
      <w:r>
        <w:rPr>
          <w:rFonts w:ascii="Times New Roman" w:hAnsi="Times New Roman"/>
          <w:szCs w:val="21"/>
        </w:rPr>
        <w:t xml:space="preserve">       </w:t>
      </w:r>
      <w:r>
        <w:rPr>
          <w:rFonts w:hint="eastAsia" w:ascii="Times New Roman" w:hAnsi="Times New Roman"/>
          <w:szCs w:val="21"/>
        </w:rPr>
        <w:t>②“自知者英，自胜者雄”</w:t>
      </w:r>
    </w:p>
    <w:p>
      <w:pPr>
        <w:adjustRightInd w:val="0"/>
        <w:spacing w:line="288" w:lineRule="auto"/>
        <w:jc w:val="left"/>
        <w:rPr>
          <w:rFonts w:ascii="Times New Roman" w:hAnsi="Times New Roman"/>
          <w:szCs w:val="21"/>
        </w:rPr>
      </w:pPr>
      <w:r>
        <w:rPr>
          <w:rFonts w:hint="eastAsia" w:ascii="Times New Roman" w:hAnsi="Times New Roman"/>
          <w:szCs w:val="21"/>
        </w:rPr>
        <w:t xml:space="preserve">③“民惟邦本，本固邦宁” </w:t>
      </w:r>
      <w:r>
        <w:rPr>
          <w:rFonts w:ascii="Times New Roman" w:hAnsi="Times New Roman"/>
          <w:szCs w:val="21"/>
        </w:rPr>
        <w:t xml:space="preserve">       </w:t>
      </w:r>
      <w:r>
        <w:rPr>
          <w:rFonts w:hint="eastAsia" w:ascii="Times New Roman" w:hAnsi="Times New Roman"/>
          <w:szCs w:val="21"/>
        </w:rPr>
        <w:t>④“将教天下，必正其身”</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szCs w:val="21"/>
        </w:rPr>
      </w:pPr>
      <w:r>
        <w:rPr>
          <w:rFonts w:hint="eastAsia" w:ascii="Times New Roman" w:hAnsi="Times New Roman"/>
          <w:szCs w:val="21"/>
        </w:rPr>
        <w:t xml:space="preserve">10．2023年7月，习近平总书记对防汛救灾工作作出重要指示，要求国家防总、应急管理部、水利部等有关部门要加强统筹协调，强化会商研判，做好监测预警，全力抢险救灾；各级党委和政府要全面落实防汛救灾主体责任，各级领导干部要加强应急值守、靠前指挥，切实把保障人民生命财产安全放到第一位，努力将各类损失降到最低。防汛救灾工作及时有效得益于（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 xml:space="preserve">①坚持民主集中制，上下协同、高效运行 </w:t>
      </w:r>
      <w:r>
        <w:rPr>
          <w:rFonts w:ascii="Times New Roman" w:hAnsi="Times New Roman"/>
          <w:szCs w:val="21"/>
        </w:rPr>
        <w:t xml:space="preserve">         </w:t>
      </w:r>
      <w:r>
        <w:rPr>
          <w:rFonts w:hint="eastAsia" w:ascii="Times New Roman" w:hAnsi="Times New Roman"/>
          <w:szCs w:val="21"/>
        </w:rPr>
        <w:t>②共产党员执政为民，践行初心、担当使命</w:t>
      </w:r>
    </w:p>
    <w:p>
      <w:pPr>
        <w:adjustRightInd w:val="0"/>
        <w:spacing w:line="288" w:lineRule="auto"/>
        <w:jc w:val="left"/>
        <w:rPr>
          <w:rFonts w:ascii="Times New Roman" w:hAnsi="Times New Roman"/>
          <w:szCs w:val="21"/>
        </w:rPr>
      </w:pPr>
      <w:r>
        <w:rPr>
          <w:rFonts w:hint="eastAsia" w:ascii="Times New Roman" w:hAnsi="Times New Roman"/>
          <w:szCs w:val="21"/>
        </w:rPr>
        <w:t xml:space="preserve">③中国共产党一心为民，总揽全局、协调各方 </w:t>
      </w:r>
      <w:r>
        <w:rPr>
          <w:rFonts w:ascii="Times New Roman" w:hAnsi="Times New Roman"/>
          <w:szCs w:val="21"/>
        </w:rPr>
        <w:t xml:space="preserve">     </w:t>
      </w:r>
      <w:r>
        <w:rPr>
          <w:rFonts w:hint="eastAsia" w:ascii="Times New Roman" w:hAnsi="Times New Roman"/>
          <w:szCs w:val="21"/>
        </w:rPr>
        <w:t>④人民政协参政议政，发挥协商民主独特优势</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szCs w:val="21"/>
        </w:rPr>
      </w:pPr>
      <w:r>
        <w:rPr>
          <w:rFonts w:hint="eastAsia" w:ascii="Times New Roman" w:hAnsi="Times New Roman"/>
          <w:szCs w:val="21"/>
        </w:rPr>
        <w:t>11．2023年4月1日，《中华人民共和国黄河保护法》正式施行，为在法治轨道上推进黄河流域生态保护和高质量发展提供了有力保障。</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tcPr>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 xml:space="preserve">第四条 </w:t>
            </w:r>
            <w:r>
              <w:rPr>
                <w:rFonts w:ascii="楷体" w:hAnsi="楷体" w:eastAsia="楷体"/>
                <w:szCs w:val="21"/>
              </w:rPr>
              <w:t xml:space="preserve"> </w:t>
            </w:r>
            <w:r>
              <w:rPr>
                <w:rFonts w:hint="eastAsia" w:ascii="楷体" w:hAnsi="楷体" w:eastAsia="楷体"/>
                <w:szCs w:val="21"/>
              </w:rPr>
              <w:t>国家建立黄河流域生态保护和高质量发展统筹协调机制……协调跨地区跨部门重大事项，督促检查相关重要工作的落实情况。</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黄河流域省、自治区可以根据需要，建立省级协调机制，组织、协调推进本行政区城黄河流域生态保护和高质量发展工作。</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 xml:space="preserve">第一百零七条 </w:t>
            </w:r>
            <w:r>
              <w:rPr>
                <w:rFonts w:ascii="楷体" w:hAnsi="楷体" w:eastAsia="楷体"/>
                <w:szCs w:val="21"/>
              </w:rPr>
              <w:t xml:space="preserve"> </w:t>
            </w:r>
            <w:r>
              <w:rPr>
                <w:rFonts w:hint="eastAsia" w:ascii="楷体" w:hAnsi="楷体" w:eastAsia="楷体"/>
                <w:szCs w:val="21"/>
              </w:rPr>
              <w:t>国务院应当定期向全国人民代表大会常务委员会报告黄河流域生态保护和高质量发展工作情况。</w:t>
            </w:r>
          </w:p>
          <w:p>
            <w:pPr>
              <w:adjustRightInd w:val="0"/>
              <w:spacing w:line="288" w:lineRule="auto"/>
              <w:ind w:firstLine="420" w:firstLineChars="200"/>
              <w:jc w:val="right"/>
              <w:rPr>
                <w:rFonts w:ascii="楷体" w:hAnsi="楷体" w:eastAsia="楷体"/>
                <w:szCs w:val="21"/>
              </w:rPr>
            </w:pPr>
            <w:r>
              <w:rPr>
                <w:rFonts w:hint="eastAsia" w:ascii="楷体" w:hAnsi="楷体" w:eastAsia="楷体"/>
                <w:szCs w:val="21"/>
              </w:rPr>
              <w:t>——摘自《中华人民共和国黄河保护法》</w:t>
            </w:r>
          </w:p>
        </w:tc>
      </w:tr>
    </w:tbl>
    <w:p>
      <w:pPr>
        <w:adjustRightInd w:val="0"/>
        <w:spacing w:line="288" w:lineRule="auto"/>
        <w:jc w:val="left"/>
        <w:rPr>
          <w:rFonts w:ascii="Times New Roman" w:hAnsi="Times New Roman"/>
          <w:szCs w:val="21"/>
        </w:rPr>
      </w:pPr>
      <w:r>
        <w:rPr>
          <w:rFonts w:hint="eastAsia" w:ascii="Times New Roman" w:hAnsi="Times New Roman"/>
          <w:szCs w:val="21"/>
        </w:rPr>
        <w:t xml:space="preserve">依据材料，下列推断正确的是（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①政府坚持对人民代表大会负责，严格执行监察建议</w:t>
      </w:r>
    </w:p>
    <w:p>
      <w:pPr>
        <w:adjustRightInd w:val="0"/>
        <w:spacing w:line="288" w:lineRule="auto"/>
        <w:jc w:val="left"/>
        <w:rPr>
          <w:rFonts w:ascii="Times New Roman" w:hAnsi="Times New Roman"/>
          <w:szCs w:val="21"/>
        </w:rPr>
      </w:pPr>
      <w:r>
        <w:rPr>
          <w:rFonts w:hint="eastAsia" w:ascii="Times New Roman" w:hAnsi="Times New Roman"/>
          <w:szCs w:val="21"/>
        </w:rPr>
        <w:t>②我国国家机关应在法治框架内协调一致地履行职责</w:t>
      </w:r>
    </w:p>
    <w:p>
      <w:pPr>
        <w:adjustRightInd w:val="0"/>
        <w:spacing w:line="288" w:lineRule="auto"/>
        <w:jc w:val="left"/>
        <w:rPr>
          <w:rFonts w:ascii="Times New Roman" w:hAnsi="Times New Roman"/>
          <w:szCs w:val="21"/>
        </w:rPr>
      </w:pPr>
      <w:r>
        <w:rPr>
          <w:rFonts w:hint="eastAsia" w:ascii="Times New Roman" w:hAnsi="Times New Roman"/>
          <w:szCs w:val="21"/>
        </w:rPr>
        <w:t>③黄河流域自治区的各级人民政府可以变通执行黄河保护法</w:t>
      </w:r>
    </w:p>
    <w:p>
      <w:pPr>
        <w:adjustRightInd w:val="0"/>
        <w:spacing w:line="288" w:lineRule="auto"/>
        <w:jc w:val="left"/>
        <w:rPr>
          <w:rFonts w:ascii="Times New Roman" w:hAnsi="Times New Roman"/>
          <w:szCs w:val="21"/>
        </w:rPr>
      </w:pPr>
      <w:r>
        <w:rPr>
          <w:rFonts w:hint="eastAsia" w:ascii="Times New Roman" w:hAnsi="Times New Roman"/>
          <w:szCs w:val="21"/>
        </w:rPr>
        <w:t>④全国人大常委会可以对黄河保护法实施情况开展执法检查</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szCs w:val="21"/>
        </w:rPr>
      </w:pPr>
      <w:r>
        <w:rPr>
          <w:rFonts w:hint="eastAsia" w:ascii="Times New Roman" w:hAnsi="Times New Roman"/>
          <w:szCs w:val="21"/>
        </w:rPr>
        <w:t xml:space="preserve">12．中共中央办公厅、国务院办公厅印发《关于构建优质均衡的基本公共教育服务体系的意见》，提出以公益普惠和优质均衡为基本方向，全面提高基本公共教育服务水平，加快建设教育强国，办好人民满意的教育。该意见（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 xml:space="preserve">①以社会公平促教育公平，推进教育现代化 </w:t>
      </w:r>
      <w:r>
        <w:rPr>
          <w:rFonts w:ascii="Times New Roman" w:hAnsi="Times New Roman"/>
          <w:szCs w:val="21"/>
        </w:rPr>
        <w:t xml:space="preserve">        </w:t>
      </w:r>
      <w:r>
        <w:rPr>
          <w:rFonts w:hint="eastAsia" w:ascii="Times New Roman" w:hAnsi="Times New Roman"/>
          <w:szCs w:val="21"/>
        </w:rPr>
        <w:t>②坚持以人民为中心，促进全体人民共同富裕</w:t>
      </w:r>
    </w:p>
    <w:p>
      <w:pPr>
        <w:adjustRightInd w:val="0"/>
        <w:spacing w:line="288" w:lineRule="auto"/>
        <w:jc w:val="left"/>
        <w:rPr>
          <w:rFonts w:ascii="Times New Roman" w:hAnsi="Times New Roman"/>
          <w:szCs w:val="21"/>
        </w:rPr>
      </w:pPr>
      <w:r>
        <w:rPr>
          <w:rFonts w:hint="eastAsia" w:ascii="Times New Roman" w:hAnsi="Times New Roman"/>
          <w:szCs w:val="21"/>
        </w:rPr>
        <w:t xml:space="preserve">③以公共服务均等化，彰显人民教育发展温度 </w:t>
      </w:r>
      <w:r>
        <w:rPr>
          <w:rFonts w:ascii="Times New Roman" w:hAnsi="Times New Roman"/>
          <w:szCs w:val="21"/>
        </w:rPr>
        <w:t xml:space="preserve">      </w:t>
      </w:r>
      <w:r>
        <w:rPr>
          <w:rFonts w:hint="eastAsia" w:ascii="Times New Roman" w:hAnsi="Times New Roman"/>
          <w:szCs w:val="21"/>
        </w:rPr>
        <w:t>④服务科教兴国战略，以创新动力夯实强国之基</w:t>
      </w:r>
    </w:p>
    <w:p>
      <w:pPr>
        <w:adjustRightInd w:val="0"/>
        <w:spacing w:line="288" w:lineRule="auto"/>
        <w:jc w:val="left"/>
        <w:rPr>
          <w:rFonts w:ascii="Times New Roman" w:hAnsi="Times New Roman"/>
          <w:szCs w:val="21"/>
        </w:rPr>
      </w:pPr>
      <w:r>
        <w:rPr>
          <w:rFonts w:hint="eastAsia" w:ascii="Times New Roman" w:hAnsi="Times New Roman"/>
          <w:szCs w:val="21"/>
        </w:rPr>
        <w:t>A．①②         B．①④         C．②③         D．③④</w:t>
      </w:r>
    </w:p>
    <w:p>
      <w:pPr>
        <w:adjustRightInd w:val="0"/>
        <w:spacing w:line="288" w:lineRule="auto"/>
        <w:jc w:val="left"/>
        <w:rPr>
          <w:rFonts w:ascii="Times New Roman" w:hAnsi="Times New Roman"/>
          <w:szCs w:val="21"/>
        </w:rPr>
      </w:pPr>
      <w:r>
        <w:rPr>
          <w:rFonts w:hint="eastAsia" w:ascii="Times New Roman" w:hAnsi="Times New Roman"/>
          <w:szCs w:val="21"/>
        </w:rPr>
        <w:t xml:space="preserve">13．A社区坚持和发展新时代“枫桥经验”，实施“小区党支部+业委会+物业公司”治理新模式，推动小区事务共商、服务共抓、矛盾共管；开展了“最美家庭”“和谐楼栋”等评选，以新时代健康向上的正能量引领居民思想；聘请事务所律师为社区法律顾问，引导居民守法信法用法，新时代“枫桥经验”最大限度地把矛盾风险防范化解在基层。这一成效得益于（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 xml:space="preserve">①完善协同共治机制、提升基层治理能力 </w:t>
      </w:r>
      <w:r>
        <w:rPr>
          <w:rFonts w:ascii="Times New Roman" w:hAnsi="Times New Roman"/>
          <w:szCs w:val="21"/>
        </w:rPr>
        <w:t xml:space="preserve">        </w:t>
      </w:r>
      <w:r>
        <w:rPr>
          <w:rFonts w:hint="eastAsia" w:ascii="Times New Roman" w:hAnsi="Times New Roman"/>
          <w:szCs w:val="21"/>
        </w:rPr>
        <w:t>②建立党的基层组织、党建引领基层治理</w:t>
      </w:r>
    </w:p>
    <w:p>
      <w:pPr>
        <w:adjustRightInd w:val="0"/>
        <w:spacing w:line="288" w:lineRule="auto"/>
        <w:jc w:val="left"/>
        <w:rPr>
          <w:rFonts w:ascii="Times New Roman" w:hAnsi="Times New Roman"/>
          <w:szCs w:val="21"/>
        </w:rPr>
      </w:pPr>
      <w:r>
        <w:rPr>
          <w:rFonts w:hint="eastAsia" w:ascii="Times New Roman" w:hAnsi="Times New Roman"/>
          <w:szCs w:val="21"/>
        </w:rPr>
        <w:t xml:space="preserve">③创新基层治理格局、扩大基层民主权利 </w:t>
      </w:r>
      <w:r>
        <w:rPr>
          <w:rFonts w:ascii="Times New Roman" w:hAnsi="Times New Roman"/>
          <w:szCs w:val="21"/>
        </w:rPr>
        <w:t xml:space="preserve">        </w:t>
      </w:r>
      <w:r>
        <w:rPr>
          <w:rFonts w:hint="eastAsia" w:ascii="Times New Roman" w:hAnsi="Times New Roman"/>
          <w:szCs w:val="21"/>
        </w:rPr>
        <w:t>④推进德治法治自治、构建基层治理体系</w:t>
      </w:r>
    </w:p>
    <w:p>
      <w:pPr>
        <w:adjustRightInd w:val="0"/>
        <w:spacing w:line="288" w:lineRule="auto"/>
        <w:jc w:val="left"/>
        <w:rPr>
          <w:rFonts w:ascii="Times New Roman" w:hAnsi="Times New Roman"/>
          <w:szCs w:val="21"/>
        </w:rPr>
      </w:pPr>
      <w:r>
        <w:rPr>
          <w:rFonts w:hint="eastAsia" w:ascii="Times New Roman" w:hAnsi="Times New Roman"/>
          <w:szCs w:val="21"/>
        </w:rPr>
        <w:t>A．①②         B．①④         C．②③         D．③④</w:t>
      </w:r>
    </w:p>
    <w:p>
      <w:pPr>
        <w:adjustRightInd w:val="0"/>
        <w:spacing w:line="288" w:lineRule="auto"/>
        <w:jc w:val="left"/>
        <w:rPr>
          <w:rFonts w:ascii="Times New Roman" w:hAnsi="Times New Roman"/>
          <w:szCs w:val="21"/>
        </w:rPr>
      </w:pPr>
      <w:r>
        <w:rPr>
          <w:rFonts w:hint="eastAsia" w:ascii="Times New Roman" w:hAnsi="Times New Roman"/>
          <w:szCs w:val="21"/>
        </w:rPr>
        <w:t xml:space="preserve">14．随着数字化进程的加快，商用密码应用愈发广泛，涵盖了老百姓生活的众多领域，比如常用的移动支付、电子政务等都使用了商用密码技术。2023年7月，国务院新修订的《商用密码管理条例》正式施行，该条例的施行为推进新时代商用密码高质量发展、保障网络与信息安全、维护国家安全和社会公共利益、保护公民合法权益提供有力保障。条例的修订说明（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①科学立法尊重和体现社会发展的客观规律，保障人民合法权益</w:t>
      </w:r>
    </w:p>
    <w:p>
      <w:pPr>
        <w:adjustRightInd w:val="0"/>
        <w:spacing w:line="288" w:lineRule="auto"/>
        <w:jc w:val="left"/>
        <w:rPr>
          <w:rFonts w:ascii="Times New Roman" w:hAnsi="Times New Roman"/>
          <w:szCs w:val="21"/>
        </w:rPr>
      </w:pPr>
      <w:r>
        <w:rPr>
          <w:rFonts w:hint="eastAsia" w:ascii="Times New Roman" w:hAnsi="Times New Roman"/>
          <w:szCs w:val="21"/>
        </w:rPr>
        <w:t>②优化完善我国网络安全法律体系旨在规范政府工作，提高效能</w:t>
      </w:r>
    </w:p>
    <w:p>
      <w:pPr>
        <w:adjustRightInd w:val="0"/>
        <w:spacing w:line="288" w:lineRule="auto"/>
        <w:jc w:val="left"/>
        <w:rPr>
          <w:rFonts w:ascii="Times New Roman" w:hAnsi="Times New Roman"/>
          <w:szCs w:val="21"/>
        </w:rPr>
      </w:pPr>
      <w:r>
        <w:rPr>
          <w:rFonts w:hint="eastAsia" w:ascii="Times New Roman" w:hAnsi="Times New Roman"/>
          <w:szCs w:val="21"/>
        </w:rPr>
        <w:t>③我国坚持在法治轨道上推进国家治理体系和治理能力的现代化</w:t>
      </w:r>
    </w:p>
    <w:p>
      <w:pPr>
        <w:adjustRightInd w:val="0"/>
        <w:spacing w:line="288" w:lineRule="auto"/>
        <w:jc w:val="left"/>
        <w:rPr>
          <w:rFonts w:ascii="Times New Roman" w:hAnsi="Times New Roman"/>
          <w:szCs w:val="21"/>
        </w:rPr>
      </w:pPr>
      <w:r>
        <w:rPr>
          <w:rFonts w:hint="eastAsia" w:ascii="Times New Roman" w:hAnsi="Times New Roman"/>
          <w:szCs w:val="21"/>
        </w:rPr>
        <w:t>④国务院作为立法机关行使立法权，为数字经济发展提供法律保障</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szCs w:val="21"/>
        </w:rPr>
      </w:pPr>
      <w:r>
        <w:rPr>
          <w:rFonts w:hint="eastAsia" w:ascii="Times New Roman" w:hAnsi="Times New Roman"/>
          <w:szCs w:val="21"/>
        </w:rPr>
        <w:t xml:space="preserve">15．近年来，网络电信诈骗行为时有发生，诈骗手段花样百出，给老百姓造成了财产损失和精神打击。山东省公安系统开展“云剑-2023”专项行动，一方面，深入打击网络电信诈骗犯罪，另一方面，加大社会面防诈宣传力度，切实提高群众的防骗、识骗能力，从源头上控制和减少诈骗犯罪。由此可见，建设法治国家（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 xml:space="preserve">①政府要坚持严格执法，维护群众正当权益 </w:t>
      </w:r>
      <w:r>
        <w:rPr>
          <w:rFonts w:ascii="Times New Roman" w:hAnsi="Times New Roman"/>
          <w:szCs w:val="21"/>
        </w:rPr>
        <w:t xml:space="preserve">       </w:t>
      </w:r>
      <w:r>
        <w:rPr>
          <w:rFonts w:hint="eastAsia" w:ascii="Times New Roman" w:hAnsi="Times New Roman"/>
          <w:szCs w:val="21"/>
        </w:rPr>
        <w:t>②要强化国家专政职能，协调人民内部矛盾</w:t>
      </w:r>
    </w:p>
    <w:p>
      <w:pPr>
        <w:adjustRightInd w:val="0"/>
        <w:spacing w:line="288" w:lineRule="auto"/>
        <w:jc w:val="left"/>
        <w:rPr>
          <w:rFonts w:ascii="Times New Roman" w:hAnsi="Times New Roman"/>
          <w:szCs w:val="21"/>
        </w:rPr>
      </w:pPr>
      <w:r>
        <w:rPr>
          <w:rFonts w:hint="eastAsia" w:ascii="Times New Roman" w:hAnsi="Times New Roman"/>
          <w:szCs w:val="21"/>
        </w:rPr>
        <w:t xml:space="preserve">③要通过法治宣传教育，增强公民法治观念 </w:t>
      </w:r>
      <w:r>
        <w:rPr>
          <w:rFonts w:ascii="Times New Roman" w:hAnsi="Times New Roman"/>
          <w:szCs w:val="21"/>
        </w:rPr>
        <w:t xml:space="preserve">       </w:t>
      </w:r>
      <w:r>
        <w:rPr>
          <w:rFonts w:hint="eastAsia" w:ascii="Times New Roman" w:hAnsi="Times New Roman"/>
          <w:szCs w:val="21"/>
        </w:rPr>
        <w:t>④坚持人民司法为人民，保障推进公正司法</w:t>
      </w:r>
    </w:p>
    <w:p>
      <w:pPr>
        <w:adjustRightInd w:val="0"/>
        <w:spacing w:line="288" w:lineRule="auto"/>
        <w:jc w:val="left"/>
        <w:rPr>
          <w:rFonts w:ascii="Times New Roman" w:hAnsi="Times New Roman"/>
          <w:szCs w:val="21"/>
        </w:rPr>
      </w:pPr>
      <w:r>
        <w:rPr>
          <w:rFonts w:hint="eastAsia" w:ascii="Times New Roman" w:hAnsi="Times New Roman"/>
          <w:szCs w:val="21"/>
        </w:rPr>
        <w:t>A．①③         B．①④         C．②③         D．②④</w:t>
      </w:r>
    </w:p>
    <w:p>
      <w:pPr>
        <w:adjustRightInd w:val="0"/>
        <w:spacing w:line="288" w:lineRule="auto"/>
        <w:jc w:val="left"/>
        <w:rPr>
          <w:rFonts w:ascii="Times New Roman" w:hAnsi="Times New Roman"/>
          <w:b/>
          <w:bCs/>
          <w:sz w:val="24"/>
        </w:rPr>
      </w:pPr>
      <w:r>
        <w:rPr>
          <w:rFonts w:hint="eastAsia" w:ascii="Times New Roman" w:hAnsi="Times New Roman"/>
          <w:b/>
          <w:bCs/>
          <w:sz w:val="24"/>
        </w:rPr>
        <w:t>二、非选择题：本题共4道题，共55分。</w:t>
      </w:r>
    </w:p>
    <w:p>
      <w:pPr>
        <w:adjustRightInd w:val="0"/>
        <w:spacing w:line="288" w:lineRule="auto"/>
        <w:jc w:val="left"/>
        <w:rPr>
          <w:rFonts w:ascii="Times New Roman" w:hAnsi="Times New Roman"/>
          <w:szCs w:val="21"/>
        </w:rPr>
      </w:pPr>
      <w:r>
        <w:rPr>
          <w:rFonts w:hint="eastAsia" w:ascii="Times New Roman" w:hAnsi="Times New Roman"/>
          <w:szCs w:val="21"/>
        </w:rPr>
        <w:t>16．（15分）</w:t>
      </w:r>
    </w:p>
    <w:p>
      <w:pPr>
        <w:adjustRightInd w:val="0"/>
        <w:spacing w:line="288" w:lineRule="auto"/>
        <w:ind w:firstLine="420" w:firstLineChars="200"/>
        <w:jc w:val="center"/>
        <w:rPr>
          <w:rFonts w:ascii="楷体" w:hAnsi="楷体" w:eastAsia="楷体"/>
          <w:szCs w:val="21"/>
        </w:rPr>
      </w:pPr>
      <w:r>
        <w:rPr>
          <w:rFonts w:hint="eastAsia" w:ascii="楷体" w:hAnsi="楷体" w:eastAsia="楷体"/>
          <w:szCs w:val="21"/>
        </w:rPr>
        <w:t>以中国式现代化推进中华民族伟大复兴</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◆读懂中国之理，凝聚奋进之力</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在百年非凡奋斗历程中，中国共产党坚持把马克思主义基本原理同中国具体实际和时代特征相结合，团结带领中国人民创造了中国式现代化新道路，创造了人类现代化史上的奇迹。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2"/>
        <w:gridCol w:w="2492"/>
        <w:gridCol w:w="2492"/>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2" w:type="dxa"/>
          </w:tcPr>
          <w:p>
            <w:pPr>
              <w:adjustRightInd w:val="0"/>
              <w:spacing w:line="288" w:lineRule="auto"/>
              <w:ind w:firstLine="420" w:firstLineChars="200"/>
              <w:jc w:val="center"/>
              <w:rPr>
                <w:rFonts w:ascii="楷体" w:hAnsi="楷体" w:eastAsia="楷体"/>
                <w:szCs w:val="21"/>
              </w:rPr>
            </w:pPr>
            <w:r>
              <w:rPr>
                <w:rFonts w:hint="eastAsia" w:ascii="楷体" w:hAnsi="楷体" w:eastAsia="楷体"/>
                <w:szCs w:val="21"/>
              </w:rPr>
              <w:t>经济快速发展的奇迹</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中国从一穷二白发展成为经济总量超过100万亿元、人均GDP超过1万美元的世界第二大经济体。</w:t>
            </w:r>
          </w:p>
        </w:tc>
        <w:tc>
          <w:tcPr>
            <w:tcW w:w="2492" w:type="dxa"/>
          </w:tcPr>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社会长期稳定的奇迹</w:t>
            </w:r>
          </w:p>
          <w:p>
            <w:pPr>
              <w:adjustRightInd w:val="0"/>
              <w:spacing w:line="288" w:lineRule="auto"/>
              <w:ind w:firstLine="420" w:firstLineChars="200"/>
              <w:jc w:val="center"/>
              <w:rPr>
                <w:rFonts w:ascii="楷体" w:hAnsi="楷体" w:eastAsia="楷体"/>
                <w:szCs w:val="21"/>
              </w:rPr>
            </w:pPr>
            <w:r>
              <w:rPr>
                <w:rFonts w:hint="eastAsia" w:ascii="楷体" w:hAnsi="楷体" w:eastAsia="楷体"/>
                <w:szCs w:val="21"/>
              </w:rPr>
              <w:t>中国社会在现代化的急剧变革中保持和谐稳定，中国人民安居乐业，中国成为世界上最有安全感的国家之一．</w:t>
            </w:r>
          </w:p>
        </w:tc>
        <w:tc>
          <w:tcPr>
            <w:tcW w:w="2492" w:type="dxa"/>
          </w:tcPr>
          <w:p>
            <w:pPr>
              <w:adjustRightInd w:val="0"/>
              <w:spacing w:line="288" w:lineRule="auto"/>
              <w:ind w:firstLine="420" w:firstLineChars="200"/>
              <w:jc w:val="center"/>
              <w:rPr>
                <w:rFonts w:ascii="楷体" w:hAnsi="楷体" w:eastAsia="楷体"/>
                <w:szCs w:val="21"/>
              </w:rPr>
            </w:pPr>
            <w:r>
              <w:rPr>
                <w:rFonts w:hint="eastAsia" w:ascii="楷体" w:hAnsi="楷体" w:eastAsia="楷体"/>
                <w:szCs w:val="21"/>
              </w:rPr>
              <w:t>人民生活水平显著提高的奇迹</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中国人民从温饱不足到全面小康，历史性地消除绝对贫困，正朝着共同富裕的目标稳步前进。</w:t>
            </w:r>
          </w:p>
        </w:tc>
        <w:tc>
          <w:tcPr>
            <w:tcW w:w="2492" w:type="dxa"/>
          </w:tcPr>
          <w:p>
            <w:pPr>
              <w:adjustRightInd w:val="0"/>
              <w:spacing w:line="288" w:lineRule="auto"/>
              <w:ind w:firstLine="420" w:firstLineChars="200"/>
              <w:jc w:val="center"/>
              <w:rPr>
                <w:rFonts w:ascii="楷体" w:hAnsi="楷体" w:eastAsia="楷体"/>
                <w:szCs w:val="21"/>
              </w:rPr>
            </w:pPr>
            <w:r>
              <w:rPr>
                <w:rFonts w:hint="eastAsia" w:ascii="楷体" w:hAnsi="楷体" w:eastAsia="楷体"/>
                <w:szCs w:val="21"/>
              </w:rPr>
              <w:t>不断为世界作出重大贡献的奇迹</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中国从落后时代到赶上时代、引领时代，成为世界和平的建设者、全球发展的贡献者、国际秩序的维护者、公共产品的提供者。</w:t>
            </w:r>
          </w:p>
        </w:tc>
      </w:tr>
    </w:tbl>
    <w:p>
      <w:pPr>
        <w:adjustRightInd w:val="0"/>
        <w:spacing w:line="288" w:lineRule="auto"/>
        <w:jc w:val="left"/>
        <w:rPr>
          <w:rFonts w:ascii="Times New Roman" w:hAnsi="Times New Roman"/>
          <w:szCs w:val="21"/>
        </w:rPr>
      </w:pPr>
      <w:r>
        <w:rPr>
          <w:rFonts w:hint="eastAsia" w:ascii="Times New Roman" w:hAnsi="Times New Roman"/>
          <w:szCs w:val="21"/>
        </w:rPr>
        <w:t>（1）结合材料，运用中国特色社会主义、政治与法治知识，说明中国式现代化何以创造奇迹。（9分）</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◆以吾辈之青春，捍盛世之中华</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走过苦难辉煌的过去，走在日新月异的现在，走向光明宏大的未来，今日中国江山壮丽、人民豪迈，前程远大。在中国式现代化这条强国建设、民族复兴的康庄大道上，每个人都是参与者，每个人都是追梦人。建功新时代，激荡新气象，展现新作为，我们重任在肩，我们壮志在胸。</w:t>
      </w:r>
    </w:p>
    <w:p>
      <w:pPr>
        <w:adjustRightInd w:val="0"/>
        <w:spacing w:line="288" w:lineRule="auto"/>
        <w:jc w:val="left"/>
        <w:rPr>
          <w:rFonts w:ascii="Times New Roman" w:hAnsi="Times New Roman"/>
          <w:szCs w:val="21"/>
        </w:rPr>
      </w:pPr>
      <w:r>
        <w:rPr>
          <w:rFonts w:hint="eastAsia" w:ascii="Times New Roman" w:hAnsi="Times New Roman"/>
          <w:szCs w:val="21"/>
        </w:rPr>
        <w:t>（2）结合材料，运用中国特色社会主义知识，以“在强国建设民族复兴新征程上唱响青春之歌”为主题撰写一篇短评。（6分）</w:t>
      </w:r>
    </w:p>
    <w:p>
      <w:pPr>
        <w:adjustRightInd w:val="0"/>
        <w:spacing w:line="288" w:lineRule="auto"/>
        <w:jc w:val="left"/>
        <w:rPr>
          <w:rFonts w:ascii="Times New Roman" w:hAnsi="Times New Roman"/>
          <w:szCs w:val="21"/>
        </w:rPr>
      </w:pPr>
      <w:r>
        <w:rPr>
          <w:rFonts w:hint="eastAsia" w:ascii="Times New Roman" w:hAnsi="Times New Roman"/>
          <w:szCs w:val="21"/>
        </w:rPr>
        <w:t>要求：①围绕主题，观点明确；②论证充分，逻辑清晰；③学科术语使用规范；④总字数在250字左右。</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17．（10分）</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9月28日上午，2023年山东文化和旅游惠民消费券发放启动仪式在山东省旅游推广中心发布大厅举行，活动现场同步发放2023年山东文化和旅游惠民消费券。首批发放的山东文化和旅游惠民消费券均为“八折优惠券”，覆盖省内近600家星级饭店、星级民宿、A级景区、剧院的优质文旅产品。</w:t>
      </w:r>
    </w:p>
    <w:p>
      <w:pPr>
        <w:adjustRightInd w:val="0"/>
        <w:spacing w:line="288" w:lineRule="auto"/>
        <w:jc w:val="left"/>
        <w:rPr>
          <w:rFonts w:ascii="Times New Roman" w:hAnsi="Times New Roman"/>
          <w:szCs w:val="21"/>
        </w:rPr>
      </w:pPr>
      <w:r>
        <w:rPr>
          <w:rFonts w:ascii="Times New Roman" w:hAnsi="Times New Roman"/>
          <w:szCs w:val="21"/>
        </w:rPr>
        <w:drawing>
          <wp:inline distT="0" distB="0" distL="0" distR="0">
            <wp:extent cx="3371850" cy="19621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3372023" cy="1962251"/>
                    </a:xfrm>
                    <a:prstGeom prst="rect">
                      <a:avLst/>
                    </a:prstGeom>
                  </pic:spPr>
                </pic:pic>
              </a:graphicData>
            </a:graphic>
          </wp:inline>
        </w:drawing>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本次文旅惠民消费券发放启动仪式是山东“金秋消费季”诸多活动的一个剪影。今年以来，山东省有关部门深入落实省委、省政府“消费提振年”行动部署，已先后举办“迎春消费季”和“夏日消费季”两季主题促销活动，合计发放消费券7.9亿元，拉动消费146亿元。于9月15日启动的“金秋消费季”活动期间，预计将发放消费券1亿元，涵盖汽车、家电、建材家居、餐饮美食、电商等领域。</w:t>
      </w:r>
    </w:p>
    <w:p>
      <w:pPr>
        <w:adjustRightInd w:val="0"/>
        <w:spacing w:line="288" w:lineRule="auto"/>
        <w:jc w:val="left"/>
        <w:rPr>
          <w:rFonts w:ascii="Times New Roman" w:hAnsi="Times New Roman"/>
          <w:szCs w:val="21"/>
        </w:rPr>
      </w:pPr>
      <w:r>
        <w:rPr>
          <w:rFonts w:hint="eastAsia" w:ascii="Times New Roman" w:hAnsi="Times New Roman"/>
          <w:szCs w:val="21"/>
        </w:rPr>
        <w:t>有观点认为，政府应提高各领域消费券发放量以促进经济高质量发展。结合材料，运用经济与社会知识，对该观点进行评析。（10分）</w:t>
      </w:r>
    </w:p>
    <w:p>
      <w:pPr>
        <w:adjustRightInd w:val="0"/>
        <w:spacing w:line="288" w:lineRule="auto"/>
        <w:jc w:val="left"/>
        <w:rPr>
          <w:rFonts w:ascii="Times New Roman" w:hAnsi="Times New Roman"/>
          <w:szCs w:val="21"/>
        </w:rPr>
      </w:pPr>
      <w:r>
        <w:rPr>
          <w:rFonts w:hint="eastAsia" w:ascii="Times New Roman" w:hAnsi="Times New Roman"/>
          <w:szCs w:val="21"/>
        </w:rPr>
        <w:t>18．（15分）</w:t>
      </w:r>
    </w:p>
    <w:p>
      <w:pPr>
        <w:adjustRightInd w:val="0"/>
        <w:spacing w:line="288" w:lineRule="auto"/>
        <w:ind w:firstLine="420" w:firstLineChars="200"/>
        <w:jc w:val="center"/>
        <w:rPr>
          <w:rFonts w:ascii="楷体" w:hAnsi="楷体" w:eastAsia="楷体"/>
          <w:szCs w:val="21"/>
        </w:rPr>
      </w:pPr>
      <w:r>
        <w:rPr>
          <w:rFonts w:hint="eastAsia" w:ascii="楷体" w:hAnsi="楷体" w:eastAsia="楷体"/>
          <w:szCs w:val="21"/>
        </w:rPr>
        <w:t>培育发展预制菜产业</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【机遇】</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随着“懒人”越来越多，以“快”为主的预制菜，成为了人们餐桌上的新宠，特别是对于每天辛苦工作的上班族，预制菜的出现让烹饪实现了“5分钟一道菜、8分钟做个汤”的目的，在节约时间的同时，还能让厨房小白们也有机会体验一把做“大厨”的优越感。</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据了解，2022年中国预制菜市场规模达4196亿元，同比增长21．3%，预估未来中国预制菜市场将保持较高的增长速度，在2026年将达到万亿元的市场规模。随着餐饮业各项成本的不断攀升，以预制菜为代表的餐饮工业化必然是未来的趋势。</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2023年2月13日，《中共中央国务院关于做好2023年全面推进乡村振兴重点工作的意见》（简称“2023年中央一号文件”）发布，首次提出“培育发展预制菜产业”，将预制菜作为促进乡村产业高质量发展的新模式新业态，为行业释放积极信号，给飞速发展的预制菜产业注入新动力。</w:t>
      </w:r>
    </w:p>
    <w:p>
      <w:pPr>
        <w:adjustRightInd w:val="0"/>
        <w:spacing w:line="288" w:lineRule="auto"/>
        <w:jc w:val="left"/>
        <w:rPr>
          <w:rFonts w:ascii="Times New Roman" w:hAnsi="Times New Roman"/>
          <w:szCs w:val="21"/>
        </w:rPr>
      </w:pPr>
      <w:r>
        <w:rPr>
          <w:rFonts w:hint="eastAsia" w:ascii="Times New Roman" w:hAnsi="Times New Roman"/>
          <w:szCs w:val="21"/>
        </w:rPr>
        <w:t>（1）结合材料，运用经济与社会知识，分析培育发展预制菜产业对促进经济发展的作用。（8分）</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【考验】</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虽然预制菜行业总体向好，但也存在不足，行业发展存在不少痛点。预制菜是新兴产业，发展速度快，虽然有关部门正在密集出台相关标准，但仍缺乏完善的国家标准及行业标准。同时，行业缺少知识产权保护，中小企业盲目跟风，产品同质化严重。“小作坊、添加剂”“图不符、缺斤两”是消费者对安全的怀疑、品质的诟病。如何直击预制菜产业痛点，补齐短板，是预制菜产业持续向好发展的重点工作。</w:t>
      </w:r>
    </w:p>
    <w:p>
      <w:pPr>
        <w:adjustRightInd w:val="0"/>
        <w:spacing w:line="288" w:lineRule="auto"/>
        <w:jc w:val="left"/>
        <w:rPr>
          <w:rFonts w:ascii="Times New Roman" w:hAnsi="Times New Roman"/>
          <w:szCs w:val="21"/>
        </w:rPr>
      </w:pPr>
      <w:r>
        <w:rPr>
          <w:rFonts w:hint="eastAsia" w:ascii="Times New Roman" w:hAnsi="Times New Roman"/>
          <w:szCs w:val="21"/>
        </w:rPr>
        <w:t>（2）结合材料，运用政治与法治知识，说明如何推动预制菜行业健康可持续发展。（7分）</w:t>
      </w:r>
    </w:p>
    <w:p>
      <w:pPr>
        <w:adjustRightInd w:val="0"/>
        <w:spacing w:line="288" w:lineRule="auto"/>
        <w:jc w:val="left"/>
        <w:rPr>
          <w:rFonts w:ascii="Times New Roman" w:hAnsi="Times New Roman"/>
          <w:szCs w:val="21"/>
        </w:rPr>
      </w:pPr>
      <w:r>
        <w:rPr>
          <w:rFonts w:hint="eastAsia" w:ascii="Times New Roman" w:hAnsi="Times New Roman"/>
          <w:szCs w:val="21"/>
        </w:rPr>
        <w:t>19．（15分）</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抓住重点推进东北全面振兴。</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 xml:space="preserve">材料一 </w:t>
      </w:r>
      <w:r>
        <w:rPr>
          <w:rFonts w:ascii="楷体" w:hAnsi="楷体" w:eastAsia="楷体"/>
          <w:szCs w:val="21"/>
        </w:rPr>
        <w:t xml:space="preserve"> </w:t>
      </w:r>
      <w:r>
        <w:rPr>
          <w:rFonts w:hint="eastAsia" w:ascii="楷体" w:hAnsi="楷体" w:eastAsia="楷体"/>
          <w:szCs w:val="21"/>
        </w:rPr>
        <w:t>2023年9月7日下午，习近平总书记在黑龙江省哈尔滨市主持召开新时代推动东北全面振兴座谈会上的重要讲话中强调：“积极培育新能源、新材料、先进制造、电子信息等战略性新兴产业，积极培育未来产业，加快形成新质生产力，增强发展新动能。”</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新质生产力”在东北首次提出，背后蕴含深意。东北地区是我国重要的农业和工业基地。东北三省的粮食产量占全国粮食产量五分之一以上，大庆油田三次采油连续21年产量超千万吨。东北地区产业门类齐全，拥有中国一重、哈电集团、航空工业哈飞等一大批“国之重器”。然而近年来，东北企业一度面临着转型缓慢、市场竞争力弱化等挑战，迫切需要加快形成新质生产力，推动东北全面振兴。“新质生产力”的提出，为东北地区乃至全国创新发展进一步明晰行动方向。</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tcPr>
          <w:p>
            <w:pPr>
              <w:adjustRightInd w:val="0"/>
              <w:spacing w:line="288" w:lineRule="auto"/>
              <w:ind w:firstLine="420" w:firstLineChars="200"/>
              <w:jc w:val="center"/>
              <w:rPr>
                <w:rFonts w:ascii="楷体" w:hAnsi="楷体" w:eastAsia="楷体"/>
                <w:szCs w:val="21"/>
              </w:rPr>
            </w:pPr>
            <w:r>
              <w:rPr>
                <w:rFonts w:hint="eastAsia" w:ascii="楷体" w:hAnsi="楷体" w:eastAsia="楷体"/>
                <w:szCs w:val="21"/>
              </w:rPr>
              <w:t>名词点击</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“新质生产力”就是新质态的生产力，有别于传统生产力，涉及领域新、技术含量高，是科技创新发挥主导作用的生产力，代表生产力演化中的一种能级跃迁。</w:t>
            </w:r>
          </w:p>
        </w:tc>
      </w:tr>
    </w:tbl>
    <w:p>
      <w:pPr>
        <w:adjustRightInd w:val="0"/>
        <w:spacing w:line="288" w:lineRule="auto"/>
        <w:jc w:val="left"/>
        <w:rPr>
          <w:rFonts w:ascii="Times New Roman" w:hAnsi="Times New Roman"/>
          <w:szCs w:val="21"/>
        </w:rPr>
      </w:pPr>
      <w:r>
        <w:rPr>
          <w:rFonts w:hint="eastAsia" w:ascii="Times New Roman" w:hAnsi="Times New Roman"/>
          <w:szCs w:val="21"/>
        </w:rPr>
        <w:t>（1）结合材料，运用中国特色社会主义、经济与社会知识，说明新质生产力何以引领经济发展的新未来。（9分）</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 xml:space="preserve">材料二 </w:t>
      </w:r>
      <w:r>
        <w:rPr>
          <w:rFonts w:ascii="楷体" w:hAnsi="楷体" w:eastAsia="楷体"/>
          <w:szCs w:val="21"/>
        </w:rPr>
        <w:t xml:space="preserve"> </w:t>
      </w:r>
      <w:r>
        <w:rPr>
          <w:rFonts w:hint="eastAsia" w:ascii="楷体" w:hAnsi="楷体" w:eastAsia="楷体"/>
          <w:szCs w:val="21"/>
        </w:rPr>
        <w:t>黑土地是地球上珍贵的土壤资源，被誉为“耕地中的大熊猫”。总书记多次踏访东北的黑土地，要求采取有效措施切实把黑土地保护好、利用好，使之永远造福人民。</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辽宁是东北黑土地的重要分布区，辽宁省委、省政府聚焦典型黑土区重点县、严格审批与黑土地相关的工程项目，采取“源头严控”“过程严管”和“后果严惩”措施严厉打击盗挖黑土等行为。通过采取工程、农机、农艺、生物等多种措施，综合施策、系统治理，着力实施黑土地保护工程。辽宁省每年安排资金2亿元用于黑土地保护，先后制定印发《辽宁省黑土地保护规划（2021-2030年）》《辽宁省黑土地保护实施方案（2021-2025年）》，提出落实耕地保护措施等目标任务。随着休耕轮作、减肥控药、农田配套、秸秆还田等一系列兼顾经济效益与生态效益的措施落地，黑土地得到了有效的保护，为巩固粮食安全“压舱石”地位提供有力保障。</w:t>
      </w:r>
    </w:p>
    <w:p>
      <w:pPr>
        <w:adjustRightInd w:val="0"/>
        <w:spacing w:line="288" w:lineRule="auto"/>
        <w:jc w:val="left"/>
        <w:rPr>
          <w:rFonts w:ascii="Times New Roman" w:hAnsi="Times New Roman"/>
          <w:szCs w:val="21"/>
        </w:rPr>
      </w:pPr>
      <w:r>
        <w:rPr>
          <w:rFonts w:hint="eastAsia" w:ascii="Times New Roman" w:hAnsi="Times New Roman"/>
          <w:szCs w:val="21"/>
        </w:rPr>
        <w:t>（2）结合材料，运用政治与法治知识，阐明辽宁黑土地治理保护的成功经验。（6分）</w:t>
      </w:r>
    </w:p>
    <w:p>
      <w:pPr>
        <w:adjustRightInd w:val="0"/>
        <w:spacing w:line="288" w:lineRule="auto"/>
        <w:jc w:val="left"/>
        <w:rPr>
          <w:rFonts w:ascii="Times New Roman" w:hAnsi="Times New Roman"/>
          <w:szCs w:val="21"/>
        </w:rPr>
      </w:pPr>
    </w:p>
    <w:sectPr>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A07DF2"/>
    <w:rsid w:val="00005EBC"/>
    <w:rsid w:val="000460FF"/>
    <w:rsid w:val="00054E7B"/>
    <w:rsid w:val="000571A3"/>
    <w:rsid w:val="000E4D02"/>
    <w:rsid w:val="000E4FF1"/>
    <w:rsid w:val="001171C4"/>
    <w:rsid w:val="001177F3"/>
    <w:rsid w:val="001702DB"/>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62D0F"/>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74272"/>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56898"/>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8289E"/>
    <w:rsid w:val="00B96924"/>
    <w:rsid w:val="00BB50C6"/>
    <w:rsid w:val="00C02815"/>
    <w:rsid w:val="00C02FC6"/>
    <w:rsid w:val="00C13493"/>
    <w:rsid w:val="00C321EB"/>
    <w:rsid w:val="00C665BD"/>
    <w:rsid w:val="00CA4A07"/>
    <w:rsid w:val="00D51257"/>
    <w:rsid w:val="00D634C2"/>
    <w:rsid w:val="00D756B6"/>
    <w:rsid w:val="00D77F6E"/>
    <w:rsid w:val="00DA0796"/>
    <w:rsid w:val="00DA5448"/>
    <w:rsid w:val="00DB6888"/>
    <w:rsid w:val="00DC061C"/>
    <w:rsid w:val="00DF071B"/>
    <w:rsid w:val="00E22C2C"/>
    <w:rsid w:val="00E445B2"/>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296E3ABB"/>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unhideWhenUsed/>
    <w:qFormat/>
    <w:uiPriority w:val="99"/>
    <w:rPr>
      <w:color w:val="0000FF"/>
      <w:u w:val="single"/>
    </w:rPr>
  </w:style>
  <w:style w:type="character" w:customStyle="1" w:styleId="8">
    <w:name w:val="页眉 Char"/>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microsoft.com/office/2007/relationships/hdphoto" Target="media/image4.wdp"/><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B179DF-907D-4923-86C7-571C1BB00126}">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